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2E" w:rsidRDefault="00634F50">
      <w:pPr>
        <w:widowControl/>
        <w:shd w:val="clear" w:color="auto" w:fill="FFFFFF"/>
        <w:ind w:firstLineChars="200" w:firstLine="1680"/>
        <w:outlineLvl w:val="0"/>
        <w:rPr>
          <w:rFonts w:asciiTheme="majorEastAsia" w:eastAsiaTheme="majorEastAsia" w:hAnsiTheme="majorEastAsia" w:cstheme="majorEastAsia"/>
          <w:kern w:val="36"/>
          <w:sz w:val="84"/>
          <w:szCs w:val="84"/>
          <w:vertAlign w:val="subscript"/>
        </w:rPr>
      </w:pPr>
      <w:r>
        <w:rPr>
          <w:rFonts w:asciiTheme="majorEastAsia" w:eastAsiaTheme="majorEastAsia" w:hAnsiTheme="majorEastAsia" w:cstheme="majorEastAsia" w:hint="eastAsia"/>
          <w:kern w:val="36"/>
          <w:sz w:val="84"/>
          <w:szCs w:val="84"/>
          <w:vertAlign w:val="subscript"/>
        </w:rPr>
        <w:t>商业银行合</w:t>
      </w:r>
      <w:proofErr w:type="gramStart"/>
      <w:r>
        <w:rPr>
          <w:rFonts w:asciiTheme="majorEastAsia" w:eastAsiaTheme="majorEastAsia" w:hAnsiTheme="majorEastAsia" w:cstheme="majorEastAsia" w:hint="eastAsia"/>
          <w:kern w:val="36"/>
          <w:sz w:val="84"/>
          <w:szCs w:val="84"/>
          <w:vertAlign w:val="subscript"/>
        </w:rPr>
        <w:t>规</w:t>
      </w:r>
      <w:proofErr w:type="gramEnd"/>
      <w:r>
        <w:rPr>
          <w:rFonts w:asciiTheme="majorEastAsia" w:eastAsiaTheme="majorEastAsia" w:hAnsiTheme="majorEastAsia" w:cstheme="majorEastAsia" w:hint="eastAsia"/>
          <w:kern w:val="36"/>
          <w:sz w:val="84"/>
          <w:szCs w:val="84"/>
          <w:vertAlign w:val="subscript"/>
        </w:rPr>
        <w:t>风险管理指引</w:t>
      </w:r>
    </w:p>
    <w:p w:rsidR="00DF072E" w:rsidRDefault="00634F50">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bookmarkStart w:id="0" w:name="_GoBack"/>
      <w:bookmarkEnd w:id="0"/>
      <w:r>
        <w:rPr>
          <w:rFonts w:asciiTheme="minorEastAsia" w:hAnsiTheme="minorEastAsia" w:cstheme="minorEastAsia" w:hint="eastAsia"/>
          <w:kern w:val="0"/>
          <w:sz w:val="32"/>
          <w:szCs w:val="32"/>
        </w:rPr>
        <w:t>第一章</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总</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则</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w:t>
      </w:r>
      <w:r>
        <w:rPr>
          <w:rFonts w:asciiTheme="minorEastAsia" w:hAnsiTheme="minorEastAsia" w:cstheme="minorEastAsia" w:hint="eastAsia"/>
          <w:kern w:val="0"/>
          <w:sz w:val="32"/>
          <w:szCs w:val="32"/>
        </w:rPr>
        <w:t>一</w:t>
      </w:r>
      <w:r>
        <w:rPr>
          <w:rFonts w:asciiTheme="minorEastAsia" w:hAnsiTheme="minorEastAsia" w:cstheme="minorEastAsia" w:hint="eastAsia"/>
          <w:kern w:val="0"/>
          <w:sz w:val="32"/>
          <w:szCs w:val="32"/>
        </w:rPr>
        <w:t>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为加强商业银行合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风险管理，维护商业银行安全稳健运行，根据《中华人民共和国银行业监督管理法》和《中华人民共和国商业银行法》，制定本指引。</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在中华人民共和国境内设立的中资商业银行、外资独资银行、中外合资银行和外国</w:t>
      </w:r>
      <w:r>
        <w:rPr>
          <w:rFonts w:asciiTheme="minorEastAsia" w:hAnsiTheme="minorEastAsia" w:cstheme="minorEastAsia" w:hint="eastAsia"/>
          <w:kern w:val="0"/>
          <w:sz w:val="32"/>
          <w:szCs w:val="32"/>
        </w:rPr>
        <w:t>银行分行适用本指引。</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在中华人民共和国境内设立的政策性银行、</w:t>
      </w:r>
      <w:hyperlink r:id="rId9" w:tgtFrame="_blank" w:history="1">
        <w:r>
          <w:rPr>
            <w:rFonts w:asciiTheme="minorEastAsia" w:hAnsiTheme="minorEastAsia" w:cstheme="minorEastAsia" w:hint="eastAsia"/>
            <w:kern w:val="0"/>
            <w:sz w:val="32"/>
            <w:szCs w:val="32"/>
          </w:rPr>
          <w:t>金融资产管理公司</w:t>
        </w:r>
      </w:hyperlink>
      <w:r>
        <w:rPr>
          <w:rFonts w:asciiTheme="minorEastAsia" w:hAnsiTheme="minorEastAsia" w:cstheme="minorEastAsia" w:hint="eastAsia"/>
          <w:kern w:val="0"/>
          <w:sz w:val="32"/>
          <w:szCs w:val="32"/>
        </w:rPr>
        <w:t>、</w:t>
      </w:r>
      <w:hyperlink r:id="rId10" w:tgtFrame="_blank" w:history="1">
        <w:r>
          <w:rPr>
            <w:rFonts w:asciiTheme="minorEastAsia" w:hAnsiTheme="minorEastAsia" w:cstheme="minorEastAsia" w:hint="eastAsia"/>
            <w:kern w:val="0"/>
            <w:sz w:val="32"/>
            <w:szCs w:val="32"/>
          </w:rPr>
          <w:t>城市信用合作社</w:t>
        </w:r>
      </w:hyperlink>
      <w:r>
        <w:rPr>
          <w:rFonts w:asciiTheme="minorEastAsia" w:hAnsiTheme="minorEastAsia" w:cstheme="minorEastAsia" w:hint="eastAsia"/>
          <w:kern w:val="0"/>
          <w:sz w:val="32"/>
          <w:szCs w:val="32"/>
        </w:rPr>
        <w:t>、</w:t>
      </w:r>
      <w:hyperlink r:id="rId11" w:tgtFrame="_blank" w:history="1">
        <w:r>
          <w:rPr>
            <w:rFonts w:asciiTheme="minorEastAsia" w:hAnsiTheme="minorEastAsia" w:cstheme="minorEastAsia" w:hint="eastAsia"/>
            <w:kern w:val="0"/>
            <w:sz w:val="32"/>
            <w:szCs w:val="32"/>
          </w:rPr>
          <w:t>农村信用合作社</w:t>
        </w:r>
      </w:hyperlink>
      <w:r>
        <w:rPr>
          <w:rFonts w:asciiTheme="minorEastAsia" w:hAnsiTheme="minorEastAsia" w:cstheme="minorEastAsia" w:hint="eastAsia"/>
          <w:kern w:val="0"/>
          <w:sz w:val="32"/>
          <w:szCs w:val="32"/>
        </w:rPr>
        <w:t>、</w:t>
      </w:r>
      <w:hyperlink r:id="rId12" w:tgtFrame="_blank" w:history="1">
        <w:r>
          <w:rPr>
            <w:rFonts w:asciiTheme="minorEastAsia" w:hAnsiTheme="minorEastAsia" w:cstheme="minorEastAsia" w:hint="eastAsia"/>
            <w:kern w:val="0"/>
            <w:sz w:val="32"/>
            <w:szCs w:val="32"/>
          </w:rPr>
          <w:t>信托投资公司</w:t>
        </w:r>
      </w:hyperlink>
      <w:r>
        <w:rPr>
          <w:rFonts w:asciiTheme="minorEastAsia" w:hAnsiTheme="minorEastAsia" w:cstheme="minorEastAsia" w:hint="eastAsia"/>
          <w:kern w:val="0"/>
          <w:sz w:val="32"/>
          <w:szCs w:val="32"/>
        </w:rPr>
        <w:t>、</w:t>
      </w:r>
      <w:hyperlink r:id="rId13" w:tgtFrame="_blank" w:history="1">
        <w:r>
          <w:rPr>
            <w:rFonts w:asciiTheme="minorEastAsia" w:hAnsiTheme="minorEastAsia" w:cstheme="minorEastAsia" w:hint="eastAsia"/>
            <w:kern w:val="0"/>
            <w:sz w:val="32"/>
            <w:szCs w:val="32"/>
          </w:rPr>
          <w:t>企业集团财务公司</w:t>
        </w:r>
      </w:hyperlink>
      <w:r>
        <w:rPr>
          <w:rFonts w:asciiTheme="minorEastAsia" w:hAnsiTheme="minorEastAsia" w:cstheme="minorEastAsia" w:hint="eastAsia"/>
          <w:kern w:val="0"/>
          <w:sz w:val="32"/>
          <w:szCs w:val="32"/>
        </w:rPr>
        <w:t>、</w:t>
      </w:r>
      <w:hyperlink r:id="rId14" w:tgtFrame="_blank" w:history="1">
        <w:r>
          <w:rPr>
            <w:rFonts w:asciiTheme="minorEastAsia" w:hAnsiTheme="minorEastAsia" w:cstheme="minorEastAsia" w:hint="eastAsia"/>
            <w:kern w:val="0"/>
            <w:sz w:val="32"/>
            <w:szCs w:val="32"/>
          </w:rPr>
          <w:t>金融租赁公司</w:t>
        </w:r>
      </w:hyperlink>
      <w:r>
        <w:rPr>
          <w:rFonts w:asciiTheme="minorEastAsia" w:hAnsiTheme="minorEastAsia" w:cstheme="minorEastAsia" w:hint="eastAsia"/>
          <w:kern w:val="0"/>
          <w:sz w:val="32"/>
          <w:szCs w:val="32"/>
        </w:rPr>
        <w:t>、</w:t>
      </w:r>
      <w:hyperlink r:id="rId15" w:tgtFrame="_blank" w:history="1">
        <w:r>
          <w:rPr>
            <w:rFonts w:asciiTheme="minorEastAsia" w:hAnsiTheme="minorEastAsia" w:cstheme="minorEastAsia" w:hint="eastAsia"/>
            <w:kern w:val="0"/>
            <w:sz w:val="32"/>
            <w:szCs w:val="32"/>
          </w:rPr>
          <w:t>汽车金融公司</w:t>
        </w:r>
      </w:hyperlink>
      <w:r>
        <w:rPr>
          <w:rFonts w:asciiTheme="minorEastAsia" w:hAnsiTheme="minorEastAsia" w:cstheme="minorEastAsia" w:hint="eastAsia"/>
          <w:kern w:val="0"/>
          <w:sz w:val="32"/>
          <w:szCs w:val="32"/>
        </w:rPr>
        <w:t>、</w:t>
      </w:r>
      <w:hyperlink r:id="rId16" w:tgtFrame="_blank" w:history="1">
        <w:r>
          <w:rPr>
            <w:rFonts w:asciiTheme="minorEastAsia" w:hAnsiTheme="minorEastAsia" w:cstheme="minorEastAsia" w:hint="eastAsia"/>
            <w:kern w:val="0"/>
            <w:sz w:val="32"/>
            <w:szCs w:val="32"/>
          </w:rPr>
          <w:t>货币经纪公司</w:t>
        </w:r>
      </w:hyperlink>
      <w:r>
        <w:rPr>
          <w:rFonts w:asciiTheme="minorEastAsia" w:hAnsiTheme="minorEastAsia" w:cstheme="minorEastAsia" w:hint="eastAsia"/>
          <w:kern w:val="0"/>
          <w:sz w:val="32"/>
          <w:szCs w:val="32"/>
        </w:rPr>
        <w:t>、邮政储蓄机构</w:t>
      </w:r>
      <w:proofErr w:type="gramStart"/>
      <w:r>
        <w:rPr>
          <w:rFonts w:asciiTheme="minorEastAsia" w:hAnsiTheme="minorEastAsia" w:cstheme="minorEastAsia" w:hint="eastAsia"/>
          <w:kern w:val="0"/>
          <w:sz w:val="32"/>
          <w:szCs w:val="32"/>
        </w:rPr>
        <w:t>以及经银监</w:t>
      </w:r>
      <w:proofErr w:type="gramEnd"/>
      <w:r>
        <w:rPr>
          <w:rFonts w:asciiTheme="minorEastAsia" w:hAnsiTheme="minorEastAsia" w:cstheme="minorEastAsia" w:hint="eastAsia"/>
          <w:kern w:val="0"/>
          <w:sz w:val="32"/>
          <w:szCs w:val="32"/>
        </w:rPr>
        <w:t>会批准设立的其他金融机构参照本指引执行。</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第三条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本指引所称法律、规则和准则，是指适用于银行业经营活动的法律、行政法规、部门规章及</w:t>
      </w:r>
      <w:hyperlink r:id="rId17" w:tgtFrame="_blank" w:history="1">
        <w:r>
          <w:rPr>
            <w:rFonts w:asciiTheme="minorEastAsia" w:hAnsiTheme="minorEastAsia" w:cstheme="minorEastAsia" w:hint="eastAsia"/>
            <w:kern w:val="0"/>
            <w:sz w:val="32"/>
            <w:szCs w:val="32"/>
          </w:rPr>
          <w:t>其他规范性文件</w:t>
        </w:r>
      </w:hyperlink>
      <w:r>
        <w:rPr>
          <w:rFonts w:asciiTheme="minorEastAsia" w:hAnsiTheme="minorEastAsia" w:cstheme="minorEastAsia" w:hint="eastAsia"/>
          <w:kern w:val="0"/>
          <w:sz w:val="32"/>
          <w:szCs w:val="32"/>
        </w:rPr>
        <w:t>、经营规则、自律性组织的行业准则、行为守则和职业操守。</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本指引所称合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，是指使商业银行的经营活动与法律、规则和准则相一致。</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本指引所称合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风险，是指商业银行因没有遵循法律、规则和准则可能遭受法律制裁、监管处罚、重大财务损失和声誉损失的风险。</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本指引所称合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管理部门，是指商业银行内</w:t>
      </w:r>
      <w:r>
        <w:rPr>
          <w:rFonts w:asciiTheme="minorEastAsia" w:hAnsiTheme="minorEastAsia" w:cstheme="minorEastAsia" w:hint="eastAsia"/>
          <w:kern w:val="0"/>
          <w:sz w:val="32"/>
          <w:szCs w:val="32"/>
        </w:rPr>
        <w:t>部设立的专门负责合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管理职能的部门、团队或岗位。</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第四条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管理是商业银行一项核心的风险管理活动。商业银行应综合考虑合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风险与信用风险、市场风险、操作风险和其他风险的关联性，确保各项风险管理政策和程序的一致性。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第五条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风险管理的目标是通过建立健全合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风险管理框架，实现对合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风险的有效识别和管理，促进全面</w:t>
      </w:r>
      <w:hyperlink r:id="rId18" w:tgtFrame="_blank" w:history="1">
        <w:r>
          <w:rPr>
            <w:rFonts w:asciiTheme="minorEastAsia" w:hAnsiTheme="minorEastAsia" w:cstheme="minorEastAsia" w:hint="eastAsia"/>
            <w:kern w:val="0"/>
            <w:sz w:val="32"/>
            <w:szCs w:val="32"/>
          </w:rPr>
          <w:t>风险管理体系</w:t>
        </w:r>
      </w:hyperlink>
      <w:r>
        <w:rPr>
          <w:rFonts w:asciiTheme="minorEastAsia" w:hAnsiTheme="minorEastAsia" w:cstheme="minorEastAsia" w:hint="eastAsia"/>
          <w:kern w:val="0"/>
          <w:sz w:val="32"/>
          <w:szCs w:val="32"/>
        </w:rPr>
        <w:t>建设，确保依法合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经营。</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第六条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商业银行应加强</w:t>
      </w:r>
      <w:hyperlink r:id="rId19" w:tgtFrame="_blank" w:history="1">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文化建设</w:t>
        </w:r>
      </w:hyperlink>
      <w:r>
        <w:rPr>
          <w:rFonts w:asciiTheme="minorEastAsia" w:hAnsiTheme="minorEastAsia" w:cstheme="minorEastAsia" w:hint="eastAsia"/>
          <w:kern w:val="0"/>
          <w:sz w:val="32"/>
          <w:szCs w:val="32"/>
        </w:rPr>
        <w:t>，并将合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文化建设融入</w:t>
      </w:r>
      <w:hyperlink r:id="rId20" w:tgtFrame="_blank" w:history="1">
        <w:r>
          <w:rPr>
            <w:rFonts w:asciiTheme="minorEastAsia" w:hAnsiTheme="minorEastAsia" w:cstheme="minorEastAsia" w:hint="eastAsia"/>
            <w:kern w:val="0"/>
            <w:sz w:val="32"/>
            <w:szCs w:val="32"/>
          </w:rPr>
          <w:t>企业文化建设</w:t>
        </w:r>
      </w:hyperlink>
      <w:r>
        <w:rPr>
          <w:rFonts w:asciiTheme="minorEastAsia" w:hAnsiTheme="minorEastAsia" w:cstheme="minorEastAsia" w:hint="eastAsia"/>
          <w:kern w:val="0"/>
          <w:sz w:val="32"/>
          <w:szCs w:val="32"/>
        </w:rPr>
        <w:t>全过程。</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是商业银行所有员工的共同责任，并应从商业银行高层做起。</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董事会和高级管理层应确定合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的基调，确立全员主动合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创造价值等合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理念，在全行推行诚信与正直的职业操守和价值观念，提高全体员工的合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意识，促进商业银行自身合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与外部监管的有效互动。</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第七条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银监会依法对商业银行合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风险管理实施监管，检查和评价商业银行合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风险管理的有效性。</w:t>
      </w:r>
    </w:p>
    <w:p w:rsidR="00DF072E" w:rsidRDefault="00634F50">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bookmarkStart w:id="1" w:name="2"/>
      <w:bookmarkStart w:id="2" w:name="sub5002994_2"/>
      <w:bookmarkStart w:id="3" w:name="第二章"/>
      <w:bookmarkEnd w:id="1"/>
      <w:bookmarkEnd w:id="2"/>
      <w:bookmarkEnd w:id="3"/>
      <w:r>
        <w:rPr>
          <w:rFonts w:asciiTheme="minorEastAsia" w:hAnsiTheme="minorEastAsia" w:cstheme="minorEastAsia" w:hint="eastAsia"/>
          <w:kern w:val="0"/>
          <w:sz w:val="32"/>
          <w:szCs w:val="32"/>
        </w:rPr>
        <w:t>第二章</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第八条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商业银行应建立与其经营范围、组织结构和业务规模相适应的合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风险管理体系。</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风险管理体系应包括以下基本要素：</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（一）合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管理部门的组织结构和资源；</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风险管理计划；</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风险识别和管理流程；</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（五）合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培训与教育制度。</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第九条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政策应明确所有员工和业务条</w:t>
      </w:r>
      <w:proofErr w:type="gramStart"/>
      <w:r>
        <w:rPr>
          <w:rFonts w:asciiTheme="minorEastAsia" w:hAnsiTheme="minorEastAsia" w:cstheme="minorEastAsia" w:hint="eastAsia"/>
          <w:kern w:val="0"/>
          <w:sz w:val="32"/>
          <w:szCs w:val="32"/>
        </w:rPr>
        <w:t>线需要</w:t>
      </w:r>
      <w:proofErr w:type="gramEnd"/>
      <w:r>
        <w:rPr>
          <w:rFonts w:asciiTheme="minorEastAsia" w:hAnsiTheme="minorEastAsia" w:cstheme="minorEastAsia" w:hint="eastAsia"/>
          <w:kern w:val="0"/>
          <w:sz w:val="32"/>
          <w:szCs w:val="32"/>
        </w:rPr>
        <w:t>遵守的基本原则，以及识别和管理合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风险的主要程序，并对合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管理职能的有关事项做出规定，至少应包括：</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（一）合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管理部门的功能和职责；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管理部门的权限，包括享有与银行任何员工进行沟通并获取履行职责所需的任何记录或档案材料的权利等；</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（四）保证合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管理部门独立性的各项措施，包括确保合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管理人员的合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管理职责与其承担的任何其他职责之间不产生利益冲突等；</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（五）合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管理部门与风险管理部门、</w:t>
      </w:r>
      <w:hyperlink r:id="rId21" w:tgtFrame="_blank" w:history="1">
        <w:r>
          <w:rPr>
            <w:rFonts w:asciiTheme="minorEastAsia" w:hAnsiTheme="minorEastAsia" w:cstheme="minorEastAsia" w:hint="eastAsia"/>
            <w:kern w:val="0"/>
            <w:sz w:val="32"/>
            <w:szCs w:val="32"/>
          </w:rPr>
          <w:t>内部审计部门</w:t>
        </w:r>
      </w:hyperlink>
      <w:r>
        <w:rPr>
          <w:rFonts w:asciiTheme="minorEastAsia" w:hAnsiTheme="minorEastAsia" w:cstheme="minorEastAsia" w:hint="eastAsia"/>
          <w:kern w:val="0"/>
          <w:sz w:val="32"/>
          <w:szCs w:val="32"/>
        </w:rPr>
        <w:t>等其他部门之间的协作关系；</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（六）设立业务条线和分支机构合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管理部门的原则。</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董事会应对商业银行经营活动的合</w:t>
      </w:r>
      <w:proofErr w:type="gramStart"/>
      <w:r>
        <w:rPr>
          <w:rFonts w:asciiTheme="minorEastAsia" w:hAnsiTheme="minorEastAsia" w:cstheme="minorEastAsia" w:hint="eastAsia"/>
          <w:kern w:val="0"/>
          <w:sz w:val="32"/>
          <w:szCs w:val="32"/>
        </w:rPr>
        <w:t>规性负</w:t>
      </w:r>
      <w:proofErr w:type="gramEnd"/>
      <w:r>
        <w:rPr>
          <w:rFonts w:asciiTheme="minorEastAsia" w:hAnsiTheme="minorEastAsia" w:cstheme="minorEastAsia" w:hint="eastAsia"/>
          <w:kern w:val="0"/>
          <w:sz w:val="32"/>
          <w:szCs w:val="32"/>
        </w:rPr>
        <w:t>最终责任，履行以下合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（一）审议批准商业银行的合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政策，并监督合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政策的实施；</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（二）审议批准高级管理层提交的合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风险管理报告，并对</w:t>
      </w:r>
      <w:hyperlink r:id="rId22" w:tgtFrame="_blank" w:history="1">
        <w:r>
          <w:rPr>
            <w:rFonts w:asciiTheme="minorEastAsia" w:hAnsiTheme="minorEastAsia" w:cstheme="minorEastAsia" w:hint="eastAsia"/>
            <w:kern w:val="0"/>
            <w:sz w:val="32"/>
            <w:szCs w:val="32"/>
          </w:rPr>
          <w:t>商业银行管理</w:t>
        </w:r>
      </w:hyperlink>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风险的有效性</w:t>
      </w:r>
      <w:proofErr w:type="gramStart"/>
      <w:r>
        <w:rPr>
          <w:rFonts w:asciiTheme="minorEastAsia" w:hAnsiTheme="minorEastAsia" w:cstheme="minorEastAsia" w:hint="eastAsia"/>
          <w:kern w:val="0"/>
          <w:sz w:val="32"/>
          <w:szCs w:val="32"/>
        </w:rPr>
        <w:t>作出</w:t>
      </w:r>
      <w:proofErr w:type="gramEnd"/>
      <w:r>
        <w:rPr>
          <w:rFonts w:asciiTheme="minorEastAsia" w:hAnsiTheme="minorEastAsia" w:cstheme="minorEastAsia" w:hint="eastAsia"/>
          <w:kern w:val="0"/>
          <w:sz w:val="32"/>
          <w:szCs w:val="32"/>
        </w:rPr>
        <w:t>评价，以使合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缺陷</w:t>
      </w:r>
      <w:r>
        <w:rPr>
          <w:rFonts w:asciiTheme="minorEastAsia" w:hAnsiTheme="minorEastAsia" w:cstheme="minorEastAsia" w:hint="eastAsia"/>
          <w:kern w:val="0"/>
          <w:sz w:val="32"/>
          <w:szCs w:val="32"/>
        </w:rPr>
        <w:t>得到及时有效的解决；</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（三）授权董事会下设的风险管理委员会、审计委员会或专门设立的合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管理委员会对商业银行合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风险管理进行日常监督；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（四）商业银行章程规定的其他合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第十一条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负责日常监督商业银行合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风险管理的董事会下设委员会应通过与合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负责人单独面谈和其他有效途径，了解合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政策的实施情况和存在的问题，及时向董事会或高级管理层提出相应的意见和建议，监督合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政策的有效实施。</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第十二条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监事会应监督董事会和高级管理层合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管理职责的履行情况。</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第十三条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高级管理层应有</w:t>
      </w:r>
      <w:proofErr w:type="gramStart"/>
      <w:r>
        <w:rPr>
          <w:rFonts w:asciiTheme="minorEastAsia" w:hAnsiTheme="minorEastAsia" w:cstheme="minorEastAsia" w:hint="eastAsia"/>
          <w:kern w:val="0"/>
          <w:sz w:val="32"/>
          <w:szCs w:val="32"/>
        </w:rPr>
        <w:t>效</w:t>
      </w:r>
      <w:proofErr w:type="gramEnd"/>
      <w:r>
        <w:rPr>
          <w:rFonts w:asciiTheme="minorEastAsia" w:hAnsiTheme="minorEastAsia" w:cstheme="minorEastAsia" w:hint="eastAsia"/>
          <w:kern w:val="0"/>
          <w:sz w:val="32"/>
          <w:szCs w:val="32"/>
        </w:rPr>
        <w:t>管理商业银行的合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风险，履行以下</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（一）制定书面的合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政策，并根据合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风险管理状况以及法律、规则和准则的变化情况适时修订合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政策，报经董事会审议批准后传达给全体员工；</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（二）贯彻执行合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政策，确保发现违规事件时及时采取适当的纠正措施，并追究违规责任人的相应责任；</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（三）任命合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负责人，并确保合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负责人的独立性；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（四）明确合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管理部门及其组织结构，为其履行职责配备充分和适当的合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管理人员，并确保合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管理部门的独立性；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（五）识别商业银行所面临的主要合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风险，审核批准合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风险管理计划，确保合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管理部门与风险管理部门、内部审计部</w:t>
      </w:r>
      <w:r>
        <w:rPr>
          <w:rFonts w:asciiTheme="minorEastAsia" w:hAnsiTheme="minorEastAsia" w:cstheme="minorEastAsia" w:hint="eastAsia"/>
          <w:kern w:val="0"/>
          <w:sz w:val="32"/>
          <w:szCs w:val="32"/>
        </w:rPr>
        <w:t>门以及其他相关部门之间的工作协调；</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（六）每年向董事会提交合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风险管理报告，报告应提供充分依据并有助于董事会成员判断高级管理</w:t>
      </w:r>
      <w:proofErr w:type="gramStart"/>
      <w:r>
        <w:rPr>
          <w:rFonts w:asciiTheme="minorEastAsia" w:hAnsiTheme="minorEastAsia" w:cstheme="minorEastAsia" w:hint="eastAsia"/>
          <w:kern w:val="0"/>
          <w:sz w:val="32"/>
          <w:szCs w:val="32"/>
        </w:rPr>
        <w:t>层管理合规</w:t>
      </w:r>
      <w:proofErr w:type="gramEnd"/>
      <w:r>
        <w:rPr>
          <w:rFonts w:asciiTheme="minorEastAsia" w:hAnsiTheme="minorEastAsia" w:cstheme="minorEastAsia" w:hint="eastAsia"/>
          <w:kern w:val="0"/>
          <w:sz w:val="32"/>
          <w:szCs w:val="32"/>
        </w:rPr>
        <w:t>风险的有效性；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（七）及时向董事会或其下设委员会、监事会报告任何重大违规事件；</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（八）合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政策规定的其他职责。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第十四条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负责人应全面协调商业银行合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风险的识别和管理，监督合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管理部门根据合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风险管理计划履行职责，定期向高级管理层提交合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风险评估报告。合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负责人不得分管业务条线。</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风险评估报告包括但不限于以下内容：报告期合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风险状况的变化情况、已识别的违规事件和合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缺</w:t>
      </w:r>
      <w:r>
        <w:rPr>
          <w:rFonts w:asciiTheme="minorEastAsia" w:hAnsiTheme="minorEastAsia" w:cstheme="minorEastAsia" w:hint="eastAsia"/>
          <w:kern w:val="0"/>
          <w:sz w:val="32"/>
          <w:szCs w:val="32"/>
        </w:rPr>
        <w:t>陷、已采取的或建议采取的纠正措施等。</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第十五条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商业银行应建立对管理人员合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绩效的考核制度。商业银行的绩效考核应体现倡导合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和惩处违规的价值观念。</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第十六条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商业银行应建立有效的合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问责制度，严格对违规行为的责任认定与追究，并采取有效的纠正措施，及时改进经营管理流程，适时修订相关政策、程序和操作指南。</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第十七条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商业银行应建立诚信举报制度，鼓励员工举报违法、违反职业操守或可疑行为，并充分保护举报人。</w:t>
      </w:r>
    </w:p>
    <w:p w:rsidR="00DF072E" w:rsidRDefault="00DF072E">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bookmarkStart w:id="4" w:name="3"/>
      <w:bookmarkStart w:id="5" w:name="第三章"/>
      <w:bookmarkStart w:id="6" w:name="sub5002994_3"/>
      <w:bookmarkEnd w:id="4"/>
      <w:bookmarkEnd w:id="5"/>
      <w:bookmarkEnd w:id="6"/>
    </w:p>
    <w:p w:rsidR="00DF072E" w:rsidRDefault="00634F50">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第三章</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第十八条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管理部门应在合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负责人的管理下协助高级管理</w:t>
      </w:r>
      <w:proofErr w:type="gramStart"/>
      <w:r>
        <w:rPr>
          <w:rFonts w:asciiTheme="minorEastAsia" w:hAnsiTheme="minorEastAsia" w:cstheme="minorEastAsia" w:hint="eastAsia"/>
          <w:kern w:val="0"/>
          <w:sz w:val="32"/>
          <w:szCs w:val="32"/>
        </w:rPr>
        <w:t>层有效</w:t>
      </w:r>
      <w:proofErr w:type="gramEnd"/>
      <w:r>
        <w:rPr>
          <w:rFonts w:asciiTheme="minorEastAsia" w:hAnsiTheme="minorEastAsia" w:cstheme="minorEastAsia" w:hint="eastAsia"/>
          <w:kern w:val="0"/>
          <w:sz w:val="32"/>
          <w:szCs w:val="32"/>
        </w:rPr>
        <w:t>识别和管理商业银行所面临的合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风险，履行以下基本职责：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（一）持续关注法律、规则和准则的最新发展，正确理解法律、规则和准则的规定及其精神，准确把握法律、规则和准则对商业银行经营的影响，及时为高级管理层提供合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建议；</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（二）制定并执行风险为本的合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管理计划，包括特定政策和程序的实施与评价、合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性测试、合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培训与教育等；</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（三）审核评价商业银行各项政策、程序和操作指南的合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性，组织、协调和督促各业务条线和内部控制部门对各</w:t>
      </w:r>
      <w:r>
        <w:rPr>
          <w:rFonts w:asciiTheme="minorEastAsia" w:hAnsiTheme="minorEastAsia" w:cstheme="minorEastAsia" w:hint="eastAsia"/>
          <w:kern w:val="0"/>
          <w:sz w:val="32"/>
          <w:szCs w:val="32"/>
        </w:rPr>
        <w:lastRenderedPageBreak/>
        <w:t>项政策、程序和操作指南进行</w:t>
      </w:r>
      <w:r>
        <w:rPr>
          <w:rFonts w:asciiTheme="minorEastAsia" w:hAnsiTheme="minorEastAsia" w:cstheme="minorEastAsia" w:hint="eastAsia"/>
          <w:kern w:val="0"/>
          <w:sz w:val="32"/>
          <w:szCs w:val="32"/>
        </w:rPr>
        <w:t>梳理和修订，确保各项政策、程序和操作指南符合法律、规则和准则的要求；</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（四）协助相关培训和教育部门对员工进行合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培训，包括新员工的合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培训，以及所有员工的定期合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培训，并成为员工咨询有关合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问题的内部联络部门；</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（五）组织制定合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管理程序以及合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手册、员工行为准则等合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指南，并评估合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管理程序和合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指南的适当性，为员工恰当执行法律、规则和准则提供指导；</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（六）积极主动地识别和评估与商业银行经营活动相关的合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风险，包括为新产品和新业务的开发提供必要的合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性审核和测试，识别和评估新业务方式的拓展、新客户关系的建</w:t>
      </w:r>
      <w:r>
        <w:rPr>
          <w:rFonts w:asciiTheme="minorEastAsia" w:hAnsiTheme="minorEastAsia" w:cstheme="minorEastAsia" w:hint="eastAsia"/>
          <w:kern w:val="0"/>
          <w:sz w:val="32"/>
          <w:szCs w:val="32"/>
        </w:rPr>
        <w:t>立以及客户关系的性质发生重大变化等所产生的合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（七）收集、筛选可能预示潜在合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问题的数据，如消费者投诉的增长数、异常交易等，建立合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风险监测指标，按照风险矩阵衡量合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风险发生的可能性和影响，确定合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风险的优先考虑序列；</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（八）实施充分且有代表性的合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风险评估和测试，包括通过现场审核对各项政策和程序的合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性进行测试，询问政策和程序存在的缺陷，并进行相应的调查。合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性测试结果应按照商业银行的内部风险管理程序，通过合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风险报告</w:t>
      </w:r>
      <w:r>
        <w:rPr>
          <w:rFonts w:asciiTheme="minorEastAsia" w:hAnsiTheme="minorEastAsia" w:cstheme="minorEastAsia" w:hint="eastAsia"/>
          <w:kern w:val="0"/>
          <w:sz w:val="32"/>
          <w:szCs w:val="32"/>
        </w:rPr>
        <w:lastRenderedPageBreak/>
        <w:t>路线向上报告，以确保各项政策和程序符合法律、规则和准则的要求；</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（九）保持与监管</w:t>
      </w:r>
      <w:r>
        <w:rPr>
          <w:rFonts w:asciiTheme="minorEastAsia" w:hAnsiTheme="minorEastAsia" w:cstheme="minorEastAsia" w:hint="eastAsia"/>
          <w:kern w:val="0"/>
          <w:sz w:val="32"/>
          <w:szCs w:val="32"/>
        </w:rPr>
        <w:t>机构日常的工作联系，跟踪和评估监管意见和监管要求的落实情况。</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第十九条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商业银行应为合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管理部门配备有效履行合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管理职能的资源。合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管理人员应具备与履行职责相匹配的资质、经验、专业技能和个人素质。</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商业银行应定期为合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管理人员提供系统的专业技能培训，尤其是在正确把握法律、规则和准则的最新发展及其对商业银行经营的影响等方面的技能培训。</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商业银行各业务条线和分支机构的负责人应对本条线和本机构经营活动的合</w:t>
      </w:r>
      <w:proofErr w:type="gramStart"/>
      <w:r>
        <w:rPr>
          <w:rFonts w:asciiTheme="minorEastAsia" w:hAnsiTheme="minorEastAsia" w:cstheme="minorEastAsia" w:hint="eastAsia"/>
          <w:kern w:val="0"/>
          <w:sz w:val="32"/>
          <w:szCs w:val="32"/>
        </w:rPr>
        <w:t>规性负</w:t>
      </w:r>
      <w:proofErr w:type="gramEnd"/>
      <w:r>
        <w:rPr>
          <w:rFonts w:asciiTheme="minorEastAsia" w:hAnsiTheme="minorEastAsia" w:cstheme="minorEastAsia" w:hint="eastAsia"/>
          <w:kern w:val="0"/>
          <w:sz w:val="32"/>
          <w:szCs w:val="32"/>
        </w:rPr>
        <w:t>首要责任。</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商业银行应根据业务条线和分支机构的经营范围、业务规模设立相应的合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各业</w:t>
      </w:r>
      <w:r>
        <w:rPr>
          <w:rFonts w:asciiTheme="minorEastAsia" w:hAnsiTheme="minorEastAsia" w:cstheme="minorEastAsia" w:hint="eastAsia"/>
          <w:kern w:val="0"/>
          <w:sz w:val="32"/>
          <w:szCs w:val="32"/>
        </w:rPr>
        <w:t>务条线和分支机构合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管理部门应根据合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管理程序主动识别和管理合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风险，按照合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风险的报告路线和报告要求及时报告。</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第二十一条</w:t>
      </w:r>
      <w:r>
        <w:rPr>
          <w:rFonts w:asciiTheme="minorEastAsia" w:hAnsiTheme="minorEastAsia" w:cstheme="minorEastAsia" w:hint="eastAsia"/>
          <w:kern w:val="0"/>
          <w:sz w:val="32"/>
          <w:szCs w:val="32"/>
        </w:rPr>
        <w:t> </w:t>
      </w:r>
      <w:hyperlink r:id="rId23" w:tgtFrame="_blank" w:history="1">
        <w:r>
          <w:rPr>
            <w:rFonts w:asciiTheme="minorEastAsia" w:hAnsiTheme="minorEastAsia" w:cstheme="minorEastAsia" w:hint="eastAsia"/>
            <w:kern w:val="0"/>
            <w:sz w:val="32"/>
            <w:szCs w:val="32"/>
          </w:rPr>
          <w:t>商业银行</w:t>
        </w:r>
      </w:hyperlink>
      <w:r>
        <w:rPr>
          <w:rFonts w:asciiTheme="minorEastAsia" w:hAnsiTheme="minorEastAsia" w:cstheme="minorEastAsia" w:hint="eastAsia"/>
          <w:kern w:val="0"/>
          <w:sz w:val="32"/>
          <w:szCs w:val="32"/>
        </w:rPr>
        <w:t>应建立合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管理部门与风险管理部门在合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管理方面的协作机制。</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第二十二条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管理职能应与</w:t>
      </w:r>
      <w:hyperlink r:id="rId24" w:tgtFrame="_blank" w:history="1">
        <w:r>
          <w:rPr>
            <w:rFonts w:asciiTheme="minorEastAsia" w:hAnsiTheme="minorEastAsia" w:cstheme="minorEastAsia" w:hint="eastAsia"/>
            <w:kern w:val="0"/>
            <w:sz w:val="32"/>
            <w:szCs w:val="32"/>
          </w:rPr>
          <w:t>内部审计职能</w:t>
        </w:r>
      </w:hyperlink>
      <w:r>
        <w:rPr>
          <w:rFonts w:asciiTheme="minorEastAsia" w:hAnsiTheme="minorEastAsia" w:cstheme="minorEastAsia" w:hint="eastAsia"/>
          <w:kern w:val="0"/>
          <w:sz w:val="32"/>
          <w:szCs w:val="32"/>
        </w:rPr>
        <w:t>分离，合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管理职能的履行情况应受到内部审计部门定期的独立评价。</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内部审计部门应负责商业银行各项经营活动的合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性审计。内部审计方案应包括合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管理职能适当性和有效性的审计评价，内部审计的风险评估方法应包括对合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风险的评估。</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商业银行应明确合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管理部门与内部审计部门在合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性测试方面的职责。内部审计部门应随时将合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性审计结果告知合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第二十三条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w:t>
      </w:r>
      <w:r>
        <w:rPr>
          <w:rFonts w:asciiTheme="minorEastAsia" w:hAnsiTheme="minorEastAsia" w:cstheme="minorEastAsia" w:hint="eastAsia"/>
          <w:kern w:val="0"/>
          <w:sz w:val="32"/>
          <w:szCs w:val="32"/>
        </w:rPr>
        <w:t>应明确合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风险报告路线以及合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风险报告的要素、格式和频率。</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第二十四条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商业银行境外分支机构或附属机构应加强合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管理职能的组织结构应符合当地的法律和监管要求。</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第二十五条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董事会和高级管理层应对合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管理部门工作的外包遵循法律、规则和准则负责。</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商业银行应确保任何合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管理部门工作的外包安排都受到合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负责人的适当监督，不妨碍银监会的有效监管。</w:t>
      </w:r>
    </w:p>
    <w:p w:rsidR="00DF072E" w:rsidRDefault="00634F50">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bookmarkStart w:id="7" w:name="4"/>
      <w:bookmarkStart w:id="8" w:name="sub5002994_4"/>
      <w:bookmarkStart w:id="9" w:name="第四章"/>
      <w:bookmarkEnd w:id="7"/>
      <w:bookmarkEnd w:id="8"/>
      <w:bookmarkEnd w:id="9"/>
      <w:r>
        <w:rPr>
          <w:rFonts w:asciiTheme="minorEastAsia" w:hAnsiTheme="minorEastAsia" w:cstheme="minorEastAsia" w:hint="eastAsia"/>
          <w:kern w:val="0"/>
          <w:sz w:val="32"/>
          <w:szCs w:val="32"/>
        </w:rPr>
        <w:t>第四章</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风险监管</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第二十六条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商业银行应及时将合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政策、合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管理程序和合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指南等内部制度向银监会备案。</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商业银行应及时向银监会报送合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风险管理计划和合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风险评估报告。</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lastRenderedPageBreak/>
        <w:t>商业银行发现重大违规事件应按照重大事项报告制度的规定向银监会报告。</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第二十七条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商业银行任命合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负责人，应按有关规定报告银监会。商业银行在合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负责人离任后的十个工作日内，应向银监会报告离任原因等有关情况。</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第二十八条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银监会应定期对商业银行合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风险管理的有效性进行评价，评价报告作为分类监管的重要依据。</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第二十九条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银监会应根据商业银行的合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记录及合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风险管理评价报告，确定合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风险现场检查的频率、范围和深度，检查的主要内容包括：</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（一）商业银行合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风险管理体系的适当性和有效性；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（二）商业银行董事会和高级管理层在合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风险管理中的作用；</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（三）商业银行绩效考核制度、问</w:t>
      </w:r>
      <w:proofErr w:type="gramStart"/>
      <w:r>
        <w:rPr>
          <w:rFonts w:asciiTheme="minorEastAsia" w:hAnsiTheme="minorEastAsia" w:cstheme="minorEastAsia" w:hint="eastAsia"/>
          <w:kern w:val="0"/>
          <w:sz w:val="32"/>
          <w:szCs w:val="32"/>
        </w:rPr>
        <w:t>责制度</w:t>
      </w:r>
      <w:proofErr w:type="gramEnd"/>
      <w:r>
        <w:rPr>
          <w:rFonts w:asciiTheme="minorEastAsia" w:hAnsiTheme="minorEastAsia" w:cstheme="minorEastAsia" w:hint="eastAsia"/>
          <w:kern w:val="0"/>
          <w:sz w:val="32"/>
          <w:szCs w:val="32"/>
        </w:rPr>
        <w:t>和诚信举报制度的适当性和有效性；</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（四）商业银行合</w:t>
      </w:r>
      <w:proofErr w:type="gramStart"/>
      <w:r>
        <w:rPr>
          <w:rFonts w:asciiTheme="minorEastAsia" w:hAnsiTheme="minorEastAsia" w:cstheme="minorEastAsia" w:hint="eastAsia"/>
          <w:kern w:val="0"/>
          <w:sz w:val="32"/>
          <w:szCs w:val="32"/>
        </w:rPr>
        <w:t>规</w:t>
      </w:r>
      <w:proofErr w:type="gramEnd"/>
      <w:r>
        <w:rPr>
          <w:rFonts w:asciiTheme="minorEastAsia" w:hAnsiTheme="minorEastAsia" w:cstheme="minorEastAsia" w:hint="eastAsia"/>
          <w:kern w:val="0"/>
          <w:sz w:val="32"/>
          <w:szCs w:val="32"/>
        </w:rPr>
        <w:t>管理职能的适当性和有效性。</w:t>
      </w:r>
    </w:p>
    <w:p w:rsidR="00DF072E" w:rsidRDefault="00634F50" w:rsidP="00DA107F">
      <w:pPr>
        <w:widowControl/>
        <w:shd w:val="clear" w:color="auto" w:fill="FFFFFF"/>
        <w:spacing w:line="288" w:lineRule="atLeast"/>
        <w:ind w:firstLineChars="200" w:firstLine="640"/>
        <w:jc w:val="left"/>
        <w:outlineLvl w:val="1"/>
        <w:rPr>
          <w:rFonts w:asciiTheme="minorEastAsia" w:hAnsiTheme="minorEastAsia" w:cstheme="minorEastAsia"/>
          <w:kern w:val="0"/>
          <w:sz w:val="32"/>
          <w:szCs w:val="32"/>
        </w:rPr>
      </w:pPr>
      <w:bookmarkStart w:id="10" w:name="sub5002994_5"/>
      <w:bookmarkStart w:id="11" w:name="第五章"/>
      <w:bookmarkStart w:id="12" w:name="5"/>
      <w:bookmarkEnd w:id="10"/>
      <w:bookmarkEnd w:id="11"/>
      <w:bookmarkEnd w:id="12"/>
      <w:r>
        <w:rPr>
          <w:rFonts w:asciiTheme="minorEastAsia" w:hAnsiTheme="minorEastAsia" w:cstheme="minorEastAsia" w:hint="eastAsia"/>
          <w:kern w:val="0"/>
          <w:sz w:val="32"/>
          <w:szCs w:val="32"/>
        </w:rPr>
        <w:t>第五章</w:t>
      </w:r>
      <w:r w:rsidR="00DA107F">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附则</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第三十条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本指引由银监会负责解释。</w:t>
      </w:r>
    </w:p>
    <w:p w:rsidR="00DF072E" w:rsidRDefault="00634F50">
      <w:pPr>
        <w:widowControl/>
        <w:shd w:val="clear" w:color="auto" w:fill="FFFFFF"/>
        <w:spacing w:line="288" w:lineRule="atLeast"/>
        <w:ind w:firstLineChars="200" w:firstLine="640"/>
        <w:jc w:val="left"/>
        <w:rPr>
          <w:rFonts w:asciiTheme="minorEastAsia" w:hAnsiTheme="minorEastAsia" w:cstheme="minorEastAsia"/>
          <w:kern w:val="0"/>
          <w:sz w:val="32"/>
          <w:szCs w:val="32"/>
        </w:rPr>
      </w:pPr>
      <w:r>
        <w:rPr>
          <w:rFonts w:asciiTheme="minorEastAsia" w:hAnsiTheme="minorEastAsia" w:cstheme="minorEastAsia" w:hint="eastAsia"/>
          <w:kern w:val="0"/>
          <w:sz w:val="32"/>
          <w:szCs w:val="32"/>
        </w:rPr>
        <w:t>第三十一条</w:t>
      </w:r>
      <w:r>
        <w:rPr>
          <w:rFonts w:asciiTheme="minorEastAsia" w:hAnsiTheme="minorEastAsia" w:cstheme="minorEastAsia" w:hint="eastAsia"/>
          <w:kern w:val="0"/>
          <w:sz w:val="32"/>
          <w:szCs w:val="32"/>
        </w:rPr>
        <w:t xml:space="preserve"> </w:t>
      </w:r>
      <w:r>
        <w:rPr>
          <w:rFonts w:asciiTheme="minorEastAsia" w:hAnsiTheme="minorEastAsia" w:cstheme="minorEastAsia" w:hint="eastAsia"/>
          <w:kern w:val="0"/>
          <w:sz w:val="32"/>
          <w:szCs w:val="32"/>
        </w:rPr>
        <w:t>本指引自发布之日起实施。</w:t>
      </w:r>
    </w:p>
    <w:p w:rsidR="00DF072E" w:rsidRDefault="00DF072E">
      <w:pPr>
        <w:ind w:firstLineChars="200" w:firstLine="420"/>
      </w:pPr>
    </w:p>
    <w:sectPr w:rsidR="00DF072E">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F50" w:rsidRDefault="00634F50" w:rsidP="00DA107F">
      <w:pPr>
        <w:ind w:firstLine="105"/>
      </w:pPr>
      <w:r>
        <w:separator/>
      </w:r>
    </w:p>
  </w:endnote>
  <w:endnote w:type="continuationSeparator" w:id="0">
    <w:p w:rsidR="00634F50" w:rsidRDefault="00634F50" w:rsidP="00DA107F">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6"/>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6"/>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6"/>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F50" w:rsidRDefault="00634F50" w:rsidP="00DA107F">
      <w:pPr>
        <w:ind w:firstLine="105"/>
      </w:pPr>
      <w:r>
        <w:separator/>
      </w:r>
    </w:p>
  </w:footnote>
  <w:footnote w:type="continuationSeparator" w:id="0">
    <w:p w:rsidR="00634F50" w:rsidRDefault="00634F50" w:rsidP="00DA107F">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5"/>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5"/>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F" w:rsidRDefault="00DA107F" w:rsidP="00DA107F">
    <w:pPr>
      <w:pStyle w:val="a5"/>
      <w:ind w:firstLine="9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707580"/>
    <w:multiLevelType w:val="multilevel"/>
    <w:tmpl w:val="4D70758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102E"/>
    <w:rsid w:val="00394D2D"/>
    <w:rsid w:val="003B39CF"/>
    <w:rsid w:val="00634F50"/>
    <w:rsid w:val="007664F2"/>
    <w:rsid w:val="0087102E"/>
    <w:rsid w:val="009940AD"/>
    <w:rsid w:val="00A44825"/>
    <w:rsid w:val="00DA107F"/>
    <w:rsid w:val="00DF072E"/>
    <w:rsid w:val="285B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ind w:firstLineChars="0" w:firstLine="0"/>
      <w:jc w:val="left"/>
      <w:outlineLvl w:val="0"/>
    </w:pPr>
    <w:rPr>
      <w:rFonts w:ascii="宋体" w:eastAsia="宋体" w:hAnsi="宋体" w:cs="宋体"/>
      <w:b/>
      <w:bCs/>
      <w:kern w:val="36"/>
      <w:sz w:val="48"/>
      <w:szCs w:val="48"/>
    </w:rPr>
  </w:style>
  <w:style w:type="paragraph" w:styleId="2">
    <w:name w:val="heading 2"/>
    <w:basedOn w:val="a"/>
    <w:next w:val="a"/>
    <w:link w:val="2Char"/>
    <w:uiPriority w:val="9"/>
    <w:qFormat/>
    <w:pPr>
      <w:widowControl/>
      <w:spacing w:before="100" w:beforeAutospacing="1" w:after="100" w:afterAutospacing="1"/>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Hyperlink"/>
    <w:basedOn w:val="a0"/>
    <w:uiPriority w:val="99"/>
    <w:semiHidden/>
    <w:unhideWhenUsed/>
    <w:qFormat/>
    <w:rPr>
      <w:color w:val="0000FF"/>
      <w:u w:val="single"/>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index">
    <w:name w:val="index"/>
    <w:basedOn w:val="a0"/>
    <w:qFormat/>
  </w:style>
  <w:style w:type="character" w:customStyle="1" w:styleId="text">
    <w:name w:val="text"/>
    <w:basedOn w:val="a0"/>
    <w:qFormat/>
  </w:style>
  <w:style w:type="paragraph" w:styleId="a5">
    <w:name w:val="header"/>
    <w:basedOn w:val="a"/>
    <w:link w:val="Char"/>
    <w:uiPriority w:val="99"/>
    <w:unhideWhenUsed/>
    <w:rsid w:val="00DA10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A107F"/>
    <w:rPr>
      <w:kern w:val="2"/>
      <w:sz w:val="18"/>
      <w:szCs w:val="18"/>
    </w:rPr>
  </w:style>
  <w:style w:type="paragraph" w:styleId="a6">
    <w:name w:val="footer"/>
    <w:basedOn w:val="a"/>
    <w:link w:val="Char0"/>
    <w:uiPriority w:val="99"/>
    <w:unhideWhenUsed/>
    <w:rsid w:val="00DA107F"/>
    <w:pPr>
      <w:tabs>
        <w:tab w:val="center" w:pos="4153"/>
        <w:tab w:val="right" w:pos="8306"/>
      </w:tabs>
      <w:snapToGrid w:val="0"/>
      <w:jc w:val="left"/>
    </w:pPr>
    <w:rPr>
      <w:sz w:val="18"/>
      <w:szCs w:val="18"/>
    </w:rPr>
  </w:style>
  <w:style w:type="character" w:customStyle="1" w:styleId="Char0">
    <w:name w:val="页脚 Char"/>
    <w:basedOn w:val="a0"/>
    <w:link w:val="a6"/>
    <w:uiPriority w:val="99"/>
    <w:rsid w:val="00DA107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4%BC%81%E4%B8%9A%E9%9B%86%E5%9B%A2%E8%B4%A2%E5%8A%A1%E5%85%AC%E5%8F%B8" TargetMode="External"/><Relationship Id="rId18" Type="http://schemas.openxmlformats.org/officeDocument/2006/relationships/hyperlink" Target="https://baike.baidu.com/item/%E9%A3%8E%E9%99%A9%E7%AE%A1%E7%90%86%E4%BD%93%E7%B3%BB"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baike.baidu.com/item/%E5%86%85%E9%83%A8%E5%AE%A1%E8%AE%A1%E9%83%A8%E9%97%A8" TargetMode="External"/><Relationship Id="rId7" Type="http://schemas.openxmlformats.org/officeDocument/2006/relationships/footnotes" Target="footnotes.xml"/><Relationship Id="rId12" Type="http://schemas.openxmlformats.org/officeDocument/2006/relationships/hyperlink" Target="https://baike.baidu.com/item/%E4%BF%A1%E6%89%98%E6%8A%95%E8%B5%84%E5%85%AC%E5%8F%B8" TargetMode="External"/><Relationship Id="rId17" Type="http://schemas.openxmlformats.org/officeDocument/2006/relationships/hyperlink" Target="https://baike.baidu.com/item/%E5%85%B6%E4%BB%96%E8%A7%84%E8%8C%83%E6%80%A7%E6%96%87%E4%BB%B6"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ike.baidu.com/item/%E8%B4%A7%E5%B8%81%E7%BB%8F%E7%BA%AA%E5%85%AC%E5%8F%B8" TargetMode="External"/><Relationship Id="rId20" Type="http://schemas.openxmlformats.org/officeDocument/2006/relationships/hyperlink" Target="https://baike.baidu.com/item/%E4%BC%81%E4%B8%9A%E6%96%87%E5%8C%96%E5%BB%BA%E8%AE%B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86%9C%E6%9D%91%E4%BF%A1%E7%94%A8%E5%90%88%E4%BD%9C%E7%A4%BE" TargetMode="External"/><Relationship Id="rId24" Type="http://schemas.openxmlformats.org/officeDocument/2006/relationships/hyperlink" Target="https://baike.baidu.com/item/%E5%86%85%E9%83%A8%E5%AE%A1%E8%AE%A1%E8%81%8C%E8%83%BD"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aike.baidu.com/item/%E6%B1%BD%E8%BD%A6%E9%87%91%E8%9E%8D%E5%85%AC%E5%8F%B8" TargetMode="External"/><Relationship Id="rId23" Type="http://schemas.openxmlformats.org/officeDocument/2006/relationships/hyperlink" Target="https://baike.baidu.com/item/%E5%95%86%E4%B8%9A%E9%93%B6%E8%A1%8C" TargetMode="External"/><Relationship Id="rId28" Type="http://schemas.openxmlformats.org/officeDocument/2006/relationships/footer" Target="footer2.xml"/><Relationship Id="rId10" Type="http://schemas.openxmlformats.org/officeDocument/2006/relationships/hyperlink" Target="https://baike.baidu.com/item/%E5%9F%8E%E5%B8%82%E4%BF%A1%E7%94%A8%E5%90%88%E4%BD%9C%E7%A4%BE" TargetMode="External"/><Relationship Id="rId19" Type="http://schemas.openxmlformats.org/officeDocument/2006/relationships/hyperlink" Target="https://baike.baidu.com/item/%E5%90%88%E8%A7%84%E6%96%87%E5%8C%96%E5%BB%BA%E8%AE%BE"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baike.baidu.com/item/%E9%87%91%E8%9E%8D%E8%B5%84%E4%BA%A7%E7%AE%A1%E7%90%86%E5%85%AC%E5%8F%B8" TargetMode="External"/><Relationship Id="rId14" Type="http://schemas.openxmlformats.org/officeDocument/2006/relationships/hyperlink" Target="https://baike.baidu.com/item/%E9%87%91%E8%9E%8D%E7%A7%9F%E8%B5%81%E5%85%AC%E5%8F%B8" TargetMode="External"/><Relationship Id="rId22" Type="http://schemas.openxmlformats.org/officeDocument/2006/relationships/hyperlink" Target="https://baike.baidu.com/item/%E5%95%86%E4%B8%9A%E9%93%B6%E8%A1%8C%E7%AE%A1%E7%90%86"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924</Words>
  <Characters>5271</Characters>
  <Application>Microsoft Office Word</Application>
  <DocSecurity>0</DocSecurity>
  <Lines>43</Lines>
  <Paragraphs>12</Paragraphs>
  <ScaleCrop>false</ScaleCrop>
  <Company>微软中国</Company>
  <LinksUpToDate>false</LinksUpToDate>
  <CharactersWithSpaces>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4</cp:revision>
  <dcterms:created xsi:type="dcterms:W3CDTF">2020-08-24T04:10:00Z</dcterms:created>
  <dcterms:modified xsi:type="dcterms:W3CDTF">2020-09-03T07:57:00Z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